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69</w:t>
      </w:r>
    </w:p>
    <w:p>
      <w:r>
        <w:t>Bundesgericht (BGE), 1977-04-26, DE</w:t>
      </w:r>
    </w:p>
    <w:p>
      <w:r>
        <w:rPr>
          <w:b/>
        </w:rPr>
        <w:t xml:space="preserve">Quelle: </w:t>
      </w:r>
      <w:r>
        <w:t>https://mcp.opencaselaw.ch/entscheid/bge_103 II 69</w:t>
      </w:r>
    </w:p>
    <w:p>
      <w:r>
        <w:t>FR: ATF 103 II 69</w:t>
      </w:r>
    </w:p>
    <w:p>
      <w:r>
        <w:t>IT: DTF 103 II 69</w:t>
      </w:r>
    </w:p>
    <w:p>
      <w:pPr>
        <w:pStyle w:val="Heading2"/>
      </w:pPr>
      <w:r>
        <w:t>Regeste</w:t>
      </w:r>
    </w:p>
    <w:p>
      <w:r>
        <w:t>Regeste Vorsorgliche Massnahmen nach UWG. 1. Sieht der kantonale Richter bei vorsorglichen Massnahmen nach UWG gestützt auf kantonales Zivilprozessrecht davon ab, eine Klagefrist gemäss Art. 12 Abs. 1 UWG anzusetzen, so kann dies mit der Nichtigkeitsbeschwerde gerügt werden (Art. 68 Abs. 1 lit. a OG). Eine gegen den letztinstanzlichen kantonalen Entscheid eingereichte staatsrechtliche Beschwerde kann als Nichtigkeitsbeschwerde entgegengenommen werden (E. 2). 2. Bei vorsorglichen Massnahmen nach UWG muss eine Klagefrist im Sinne von Art. 12 Abs. 1 UWG angesetzt werden (E. 3 und E. 4).</w:t>
      </w:r>
    </w:p>
    <w:p>
      <w:pPr>
        <w:pStyle w:val="Heading2"/>
      </w:pPr>
      <w:r>
        <w:t>Erwägungen</w:t>
      </w:r>
    </w:p>
    <w:p>
      <w:r>
        <w:rPr>
          <w:b/>
        </w:rPr>
        <w:t>E. 2</w:t>
      </w:r>
    </w:p>
    <w:p>
      <w:r>
        <w:t>Die staatsrechtliche Beschwerde wegen Verletzung verfassungsmässiger Rechte der Bürger ist nur zulässig, wenn die behauptete Rechtsverletzung nicht sonstwie durch Klage oder Rechtsmittel beim Bundesgericht oder einer anderen Bundesbehörde gerügt werden kann ( Art. 84 Abs. 2 OG ). Massnahmen nach Art. 9 UWG sind vorsorglicher Natur. Über den Anspruch, den sie schützen, wird erst in einem allfälligen Hauptprozess endgültig entschieden. Die Beschwerdeführerin geht denn auch darauf aus, dass der Beschwerdegegnerin zur Anhebung eines solchen gemäss Art. 12 UWG Frist gesetzt werde. Der angefochtene Entscheid ist somit nicht Endentscheid im Sinne des Art. 48 OG ( BGE 101 II 362 E. 1 mit Hinweisen auf weitere Urteile). Er kann nicht mit der Berufung angefochten werden. Die Justizkommission hat der Beschwerdegegnerin nicht Frist zur Anhebung des Hauptprozesses gesetzt, weil § 357 Abs. 2 ZPO die Ansetzung nicht zwingend vorschreibe. In der Vernehmlassung zur Beschwerde gibt sie diese Bestimmung als irrtümlich zitiert aus und erachtet § 354 ZPO als anwendbar. Ob statt der einen oder anderen dieser Normen, die beide dem kantonalen Recht angehören, die eidgenössische Bestimmung des Art. 12 UWG anzuwenden sei, wie die Beschwerdeführerin BGE 103 II 69 S. 72 geltend macht, ist eine Frage, die dem Bundesgericht gemäss Art. 68 Abs. 1 lit. a OG mit der Nichtigkeitsbeschwerde unterbreitet werden kann, da eine Zivilsache vorliegt und die Justizkommission als letzte kantonale Instanz entschieden hat. Die staatsrechtliche Beschwerde ist daher nicht zulässig. Dass die Beschwerdeführerin auch noch den Vorwurf der Verweigerung des rechtlichen Gehörs erhebt, ändert nichts. Sie begründet ihn nicht mit der Behauptung, sie habe im summarischen Befehlsverfahren, in dem die Justizkommission urteilte, die ihr zustehenden Verteidigungsrechte nicht ausüben können. Sie sieht die angeblich formelle Rechtsverweigerung darin, dass der Gegenpartei nicht Frist zur Anhebung des Hauptprozesses angesetzt wurde und damit der Beschwerdeführerin von vornherein verunmöglicht worden sei, sich in einem ordentlichen Prozesse mit dem in den § 95 ff. und 132 ff. ZPO vorgesehenen Schriftenwechsel und Beweisverfahren zu verteidigen. Diese Rüge deckt sich also mit dem Anbringen, die Justizkommission hätte Art. 12 UWG anwenden sollen. Es bleibt daher für eine staatsrechtliche Beschwerde kein Raum. Das eingelegte Rechtsmittel ist deshalb als Nichtigkeitsbeschwerde zu behandeln ( BGE 56 II 2 E. 1).</w:t>
      </w:r>
    </w:p>
    <w:p>
      <w:r>
        <w:rPr>
          <w:b/>
        </w:rPr>
        <w:t>E. 3</w:t>
      </w:r>
    </w:p>
    <w:p>
      <w:r>
        <w:t>Art. 12 UWG bestimmt, wenn die Behörde eine vorsorgliche Massnahme verfüge, setze sie dem Antragsteller zur Anhebung der Klage Frist bis zu dreissig Tagen (Abs. 1 Satz 1). Im Säumnisfalle fällt die Massnahme dahin; in der Verfügung ist darauf hinzuweisen (Abs. 1 Satz 2). Wird die Klage nicht rechtzeitig angehoben, so kann der Richter den Antragsteller ausserdem zum Ersatz des durch die vorsorgliche Massnahme verursachten Schadens verhalten (Abs. 2 Satz 1). Diese Bestimmungen sind zum Schutze dessen erlassen worden, der in Anwendung des Art. 9 UWG von vorsorglichen Massnahmen betroffen wird (Botschaft des Bundesrates, BBl 1942 708; vgl. VON BÜREN, Kommentar zum UWG, N. 1 zu Art. 9-12). Sie gehen dem kantonalen Prozessrecht vor (Art. 2 ÜbBest. BV). Dieses kann den Schutz des Betroffenen nicht aufheben oder einschränken. Da die Justizkommission unter Berufung auf kantonales Recht von der Ansetzung einer Klagefrist abgesehen hat, muss die Beschwerde gutgeheissen BGE 103 II 69 S. 73 und die Sache zur Anwendung des eidgenössischen Rechts an die Justizkommission zurückgewiesen werden.</w:t>
      </w:r>
    </w:p>
    <w:p>
      <w:r>
        <w:rPr>
          <w:b/>
        </w:rPr>
        <w:t>E. 4</w:t>
      </w:r>
    </w:p>
    <w:p>
      <w:r>
        <w:t>Die Justizkommission macht in der Vernehmlassung zur Beschwerde geltend, Art. 12 UWG beziehe sich offensichtlich nur auf Fälle, in denen der Gesuchsgegner ein Interesse an der Fristansetzung habe. Im angefochtenen Entscheid sagt sie, die Beschwerdeführerin habe kaum ein rechtlich schützenswertes Interesse, dass die Beschwerdegegnerin noch den Weg des ordentlichen Prozesses beschreite. Damit verkennt sie den Sinn des Art. 12 UWG . Diese Bestimmung will nicht einem angeblichen Interesse des Gesuchsgegners an der Durchführung des Hauptprozesses dienen. Der Betroffene ist in der Regel an einem Hauptprozess überhaupt nicht interessiert, sondern nur daran, dass die vorsorgliche Massnahme nicht unbestimmte Zeit fortbestehe, ohne dass der Gesuchsteller gehalten sei, im ordentlichen Prozess ein endgültiges Urteil zu erstreiten. Nur diesem Interesse will Art. 12 UWG dienen. Inwiefern es im vorliegenden Falle nicht bestehen sollte, ist nicht zu ersehen. Der Einwand der Beschwerdegegnerin, die Beschwerdeführerin könne ja dem Obergerichte ohne weiteres die Aufhebung der vorsorglichen Massnahme beantragen, wenn sie nachweise, dass sie während angemessener Zeit keinerlei unwahre Behauptungen über die Beschwerdegegnerin mehr verbreitet habe und diese im wirtschaftlichen Wettbewerb nicht mehr gefährde, taugt nicht. Es ist nicht Sache des Betroffenen, die vorsorgliche Massnahme vorerst hinzunehmen und später auf deren Aufhebung zu klagen. Nach dem klaren Wortlaut und Sinn des Art. 12 UWG hat vielmehr der Gesuchsteller binnen einer ihm zu setzenden Frist von höchstens dreissig Tagen den ordentlichen Prozess einzuleiten, wenn er vermeiden will, dass die vorsorgliche Massnahme dahinfalle. Die Auffassung der Justizkommission, unwahre Behauptungen im wirtschaftlichen Wettbewerb, die dem Mitbewerber schaden könnten, blieben immer unerlaubt, vermag hieran nichts zu ändern. Art. 12 UWG verlangt die Fristansetzung zur Anhebung des Hauptprozesses, weil das Gesetz das Ergebnis des Verfahrens um vorsorgliche Massnahmen nicht endgültig als massgebend erachtet. Daher darf nicht unterstellt werden, die Äusserungen der Beschwerdeführerin, die vor der Justizkommission glaubhaft gemacht wurden, versetzten die Beschwerdeführerin ein BGE 103 II 69 S. 74 für allemal ins Unrecht. Erst der Hauptprozess wird die Rechtslage endgültig abklären. Die Fristansetzung darf auch nicht mit der in der Vernehmlassung der Justizkommission gegebenen Begründung unterbleiben, die Beschwerdeführerin selber habe ja die Ausgabe ihres Lokal-Telefonbuches als abgeschlossen bezeichnet und den Fortbestand eines Wettbewerbsverhältnisses zur Beschwerdegegnerin bestritten. Die Justizkommission widerspricht damit ihrem eigenen Entscheide. Sie hat der Beschwerdeführerin in diesem entgegengehalten, der Umstand, dass die Inseratenwerbung für ihr TELU-Telefonbuch II abgeschlossen sei, besage keineswegs, dass sie solche nicht für ein neues Verzeichnis betreiben könne. Die Justizkommission hat also die Möglichkeit des Fortbestandes eines Wettbewerbsverhältnisses bejaht und gerade deshalb die vorsorgliche Massnahme getroffen. Im Hinblick auf diese Möglichkeit hat die Beschwerdeführerin ein Interesse an der Fristansetzung, die allenfalls zum Hinfall des gegen sie ausgesprochenen Verbotes und der damit verbundenen Strafandrohung führen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